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CE0" w:rsidRPr="00981CE0" w:rsidRDefault="00981CE0" w:rsidP="00981CE0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after="120"/>
        <w:outlineLvl w:val="2"/>
        <w:rPr>
          <w:rFonts w:ascii="Roboto" w:eastAsia="新細明體" w:hAnsi="Roboto" w:cs="新細明體"/>
          <w:b/>
          <w:bCs/>
          <w:color w:val="0A0A0A"/>
          <w:spacing w:val="-2"/>
          <w:kern w:val="0"/>
          <w:sz w:val="27"/>
          <w:szCs w:val="27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sz w:val="27"/>
          <w:szCs w:val="27"/>
          <w14:ligatures w14:val="none"/>
        </w:rPr>
        <w:br/>
        <w:t>15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sz w:val="27"/>
          <w:szCs w:val="27"/>
          <w14:ligatures w14:val="none"/>
        </w:rPr>
        <w:t>個開發客戶的方法</w:t>
      </w:r>
    </w:p>
    <w:p w:rsidR="00981CE0" w:rsidRPr="00981CE0" w:rsidRDefault="00981CE0" w:rsidP="00981CE0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after="120"/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以下是適合自接案者開發客戶的</w:t>
      </w: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15</w:t>
      </w: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種實用方法，結合常見平台</w:t>
      </w:r>
      <w:r>
        <w:rPr>
          <w:rFonts w:ascii="Roboto" w:eastAsia="新細明體" w:hAnsi="Roboto" w:cs="新細明體" w:hint="eastAsia"/>
          <w:color w:val="0A0A0A"/>
          <w:spacing w:val="-2"/>
          <w:kern w:val="0"/>
          <w14:ligatures w14:val="none"/>
        </w:rPr>
        <w:t>（或許你正在使用但應該也有你沒用過的）</w:t>
      </w: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、</w:t>
      </w:r>
      <w:r>
        <w:rPr>
          <w:rFonts w:ascii="Roboto" w:eastAsia="新細明體" w:hAnsi="Roboto" w:cs="新細明體" w:hint="eastAsia"/>
          <w:color w:val="0A0A0A"/>
          <w:spacing w:val="-2"/>
          <w:kern w:val="0"/>
          <w14:ligatures w14:val="none"/>
        </w:rPr>
        <w:t>記得要</w:t>
      </w:r>
      <w:r>
        <w:rPr>
          <w:rFonts w:ascii="Roboto" w:eastAsia="新細明體" w:hAnsi="Roboto" w:cs="新細明體" w:hint="eastAsia"/>
          <w:color w:val="0A0A0A"/>
          <w:spacing w:val="-2"/>
          <w:kern w:val="0"/>
          <w14:ligatures w14:val="none"/>
        </w:rPr>
        <w:t xml:space="preserve"> </w:t>
      </w: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被動吸引與主動出擊，建議從自己的專長領域開始試驗，逐步優化：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加入接案平台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：註冊台灣平台如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104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外包網、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Pro360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Tasker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，或國際如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Upwork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Fiverr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Freelancer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，優化個人檔案並積極投標，初期累積評價。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冷郵件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/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冷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DM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開發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：研究潛在客戶公司，客製化發送介紹信或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LinkedIn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訊息，強調如何解決他們的痛點，避免泛泛推銷。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LinkedIn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專業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 xml:space="preserve"> networking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：優化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LinkedIn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檔案，定期發專業內容，加入相關群組，主動連結目標產業人士，並溫和推銷服務。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內容行銷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：經營部落格、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YouTube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IG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或小紅書，分享專業知識（如教學、案例），吸引客戶主動找上門。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口碑轉介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：完成案子後，主動請求客戶推薦或介紹，給優惠或小禮物鼓勵轉介，這是最低成本高轉換的方式。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社群媒體活躍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：在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FB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社團、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Line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群組、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Reddit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或行業論壇發帖自我介紹，或回答問題展現專業，間接吸引案源。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建立個人網站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/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作品集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：用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WordPress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或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Portfolio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工具展示案例、客戶見證，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SEO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優化讓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Google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搜尋時被發現。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參加行業活動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/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聚會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：線上線下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Meetup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、研討會、共工作空間，面對面交流，建立人脈。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合作其他自由工作者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：與互補領域（如設計師找程式師）聯盟，互相轉介案子或共同投標大案。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FB/Google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廣告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：小額投放針對性廣告，導流到個人網站或接案頁，適合有預算時測試。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朋友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/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舊同事圈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：從親友、舊公司人脈開始，告知自己接案，請求介紹機會。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客製提案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：看到公司徵才或需求，主動送上專屬解決方案，而不是標準履歷。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加入專業社團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/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協會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：如設計師加入台灣設計聯盟，參與活動獲取內部案源。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提供免費價值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：寫客座文章、免費諮詢或小工具，換取曝光與信任。</w:t>
      </w:r>
    </w:p>
    <w:p w:rsidR="00981CE0" w:rsidRPr="00981CE0" w:rsidRDefault="00981CE0" w:rsidP="00981CE0">
      <w:pPr>
        <w:widowControl/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追蹤舊客戶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：定期關心舊客戶新需求，或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upsell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額外服務，維持長期合作。</w:t>
      </w:r>
    </w:p>
    <w:p w:rsidR="00981CE0" w:rsidRPr="00981CE0" w:rsidRDefault="00981CE0" w:rsidP="00981CE0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before="288" w:after="120"/>
        <w:outlineLvl w:val="2"/>
        <w:rPr>
          <w:rFonts w:ascii="Roboto" w:eastAsia="新細明體" w:hAnsi="Roboto" w:cs="新細明體"/>
          <w:b/>
          <w:bCs/>
          <w:color w:val="0A0A0A"/>
          <w:spacing w:val="-2"/>
          <w:kern w:val="0"/>
          <w:sz w:val="27"/>
          <w:szCs w:val="27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sz w:val="27"/>
          <w:szCs w:val="27"/>
          <w14:ligatures w14:val="none"/>
        </w:rPr>
        <w:t>五個祕密（高階技巧，讓你接到更高價案子）</w:t>
      </w:r>
    </w:p>
    <w:p w:rsidR="00981CE0" w:rsidRPr="00981CE0" w:rsidRDefault="00981CE0" w:rsidP="00981CE0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after="120"/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lastRenderedPageBreak/>
        <w:t>這些是許多資深自由工作者不常公開的「內行祕訣」，重點在定位與心態轉變：</w:t>
      </w:r>
    </w:p>
    <w:p w:rsidR="00981CE0" w:rsidRPr="00981CE0" w:rsidRDefault="00981CE0" w:rsidP="00981CE0">
      <w:pPr>
        <w:widowControl/>
        <w:numPr>
          <w:ilvl w:val="0"/>
          <w:numId w:val="2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專精利基（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Niche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）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：別當「萬能接案者」，專攻特定領域（如「電商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UI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設計」而非泛泛「設計師」），客戶會覺得你是專家，願意付更高價。</w:t>
      </w:r>
    </w:p>
    <w:p w:rsidR="00981CE0" w:rsidRPr="00981CE0" w:rsidRDefault="00981CE0" w:rsidP="00981CE0">
      <w:pPr>
        <w:widowControl/>
        <w:numPr>
          <w:ilvl w:val="0"/>
          <w:numId w:val="2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公開報價底線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：在網站或檔案上標明最低專案價（如「月專案最低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5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萬起」），自動篩掉低價客戶，吸引重視品質的高付費者。</w:t>
      </w:r>
    </w:p>
    <w:p w:rsidR="00981CE0" w:rsidRPr="00981CE0" w:rsidRDefault="00981CE0" w:rsidP="00981CE0">
      <w:pPr>
        <w:widowControl/>
        <w:numPr>
          <w:ilvl w:val="0"/>
          <w:numId w:val="2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暖開發優先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：冷聯絡前，先在社群互動幾次（讚、留言），讓對方熟悉你，再私訊，轉換率可提高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3-5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倍。</w:t>
      </w:r>
    </w:p>
    <w:p w:rsidR="00981CE0" w:rsidRPr="00981CE0" w:rsidRDefault="00981CE0" w:rsidP="00981CE0">
      <w:pPr>
        <w:widowControl/>
        <w:numPr>
          <w:ilvl w:val="0"/>
          <w:numId w:val="2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強調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ROI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而非小時費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：提案時別說「我一小時多少錢」，而是「我能幫你增加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XX%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業績或省下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XX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時間」，客戶更願意出高價。</w:t>
      </w:r>
    </w:p>
    <w:p w:rsidR="00981CE0" w:rsidRPr="00981CE0" w:rsidRDefault="00981CE0" w:rsidP="00981CE0">
      <w:pPr>
        <w:widowControl/>
        <w:numPr>
          <w:ilvl w:val="0"/>
          <w:numId w:val="2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/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過度交付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+</w:t>
      </w:r>
      <w:r w:rsidRPr="00981CE0">
        <w:rPr>
          <w:rFonts w:ascii="Roboto" w:eastAsia="新細明體" w:hAnsi="Roboto" w:cs="新細明體"/>
          <w:b/>
          <w:bCs/>
          <w:color w:val="0A0A0A"/>
          <w:spacing w:val="-2"/>
          <w:kern w:val="0"/>
          <w:bdr w:val="single" w:sz="2" w:space="0" w:color="auto" w:frame="1"/>
          <w14:ligatures w14:val="none"/>
        </w:rPr>
        <w:t>追蹤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：每案都多給一點價值（如額外建議），完案後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1-3</w:t>
      </w:r>
      <w:r w:rsidRPr="00981CE0">
        <w:rPr>
          <w:rFonts w:ascii="Roboto" w:eastAsia="新細明體" w:hAnsi="Roboto" w:cs="新細明體"/>
          <w:color w:val="050505"/>
          <w:spacing w:val="-2"/>
          <w:kern w:val="0"/>
          <w14:ligatures w14:val="none"/>
        </w:rPr>
        <w:t>個月追問反饋，客戶更容易轉介或回流，形成穩定高價案源。</w:t>
      </w:r>
    </w:p>
    <w:p w:rsidR="00981CE0" w:rsidRPr="00981CE0" w:rsidRDefault="00981CE0" w:rsidP="00981CE0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before="120"/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</w:pP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這些方法與祕訣結合使用，初期可能需耐心測試，但堅持</w:t>
      </w: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3-6</w:t>
      </w:r>
      <w:r w:rsidRPr="00981CE0">
        <w:rPr>
          <w:rFonts w:ascii="Roboto" w:eastAsia="新細明體" w:hAnsi="Roboto" w:cs="新細明體"/>
          <w:color w:val="0A0A0A"/>
          <w:spacing w:val="-2"/>
          <w:kern w:val="0"/>
          <w14:ligatures w14:val="none"/>
        </w:rPr>
        <w:t>個月，通常就能看到穩定案源。記得持續精進技能與追蹤成果，祝你接案順利、收入翻倍！如果有特定領域想深入，我可以再提供更多細節</w:t>
      </w:r>
    </w:p>
    <w:p w:rsidR="00CA4F22" w:rsidRPr="00981CE0" w:rsidRDefault="00CA4F22"/>
    <w:sectPr w:rsidR="00CA4F22" w:rsidRPr="00981C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43A3"/>
    <w:multiLevelType w:val="multilevel"/>
    <w:tmpl w:val="021C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F51D0"/>
    <w:multiLevelType w:val="multilevel"/>
    <w:tmpl w:val="A3FA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496461">
    <w:abstractNumId w:val="1"/>
  </w:num>
  <w:num w:numId="2" w16cid:durableId="164955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E0"/>
    <w:rsid w:val="00981CE0"/>
    <w:rsid w:val="00C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E819D"/>
  <w15:chartTrackingRefBased/>
  <w15:docId w15:val="{B68D1D3B-E352-3241-860D-94FB894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81C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81CE0"/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paragraph" w:customStyle="1" w:styleId="break-words">
    <w:name w:val="break-words"/>
    <w:basedOn w:val="a"/>
    <w:rsid w:val="00981C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character" w:styleId="a3">
    <w:name w:val="Strong"/>
    <w:basedOn w:val="a0"/>
    <w:uiPriority w:val="22"/>
    <w:qFormat/>
    <w:rsid w:val="00981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2025-12-30T04:35:00Z</dcterms:created>
  <dcterms:modified xsi:type="dcterms:W3CDTF">2025-12-30T04:36:00Z</dcterms:modified>
</cp:coreProperties>
</file>